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370" w:rsidRDefault="002E7370" w:rsidP="002E7370">
      <w:pPr>
        <w:jc w:val="right"/>
        <w:rPr>
          <w:b/>
        </w:rPr>
      </w:pPr>
      <w:r>
        <w:rPr>
          <w:b/>
        </w:rPr>
        <w:t>Name</w:t>
      </w:r>
      <w:r w:rsidR="00F00463">
        <w:rPr>
          <w:b/>
        </w:rPr>
        <w:t>: Kennedy Capps</w:t>
      </w:r>
    </w:p>
    <w:p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rsidR="00E60E2B" w:rsidRDefault="00E60E2B" w:rsidP="005A47E5">
      <w:pPr>
        <w:rPr>
          <w:b/>
        </w:rPr>
      </w:pPr>
      <w:r>
        <w:rPr>
          <w:b/>
        </w:rPr>
        <w:t>Lesson Segment Focus</w:t>
      </w:r>
      <w:r w:rsidR="00F00463">
        <w:rPr>
          <w:b/>
        </w:rPr>
        <w:t>: English Language Arts</w:t>
      </w:r>
      <w:r>
        <w:rPr>
          <w:b/>
        </w:rPr>
        <w:t xml:space="preserve">               Lesson </w:t>
      </w:r>
      <w:r w:rsidR="00F00463">
        <w:rPr>
          <w:b/>
        </w:rPr>
        <w:t xml:space="preserve">3 </w:t>
      </w:r>
      <w:r>
        <w:rPr>
          <w:b/>
        </w:rPr>
        <w:t>of</w:t>
      </w:r>
      <w:r w:rsidR="00F00463">
        <w:rPr>
          <w:b/>
        </w:rPr>
        <w:t xml:space="preserve"> 3</w:t>
      </w:r>
    </w:p>
    <w:p w:rsidR="00E60E2B" w:rsidRDefault="00E60E2B" w:rsidP="005A47E5">
      <w:pPr>
        <w:rPr>
          <w:b/>
        </w:rPr>
      </w:pPr>
    </w:p>
    <w:p w:rsidR="006A7AC6" w:rsidRDefault="005A47E5" w:rsidP="005A47E5">
      <w:pPr>
        <w:rPr>
          <w:b/>
        </w:rPr>
      </w:pPr>
      <w:r>
        <w:rPr>
          <w:b/>
        </w:rPr>
        <w:t>Course</w:t>
      </w:r>
      <w:r w:rsidR="000E31F8">
        <w:rPr>
          <w:b/>
        </w:rPr>
        <w:t xml:space="preserve"> &amp; topic addressed</w:t>
      </w:r>
      <w:r w:rsidR="006A7AC6">
        <w:rPr>
          <w:b/>
        </w:rPr>
        <w:t>: English Language Arts, Parts of a Sentence</w:t>
      </w:r>
      <w:r w:rsidR="00A807C3">
        <w:rPr>
          <w:b/>
        </w:rPr>
        <w:t xml:space="preserve">              </w:t>
      </w:r>
      <w:r w:rsidR="00E60E2B">
        <w:rPr>
          <w:b/>
        </w:rPr>
        <w:t>Date</w:t>
      </w:r>
      <w:r w:rsidR="006A7AC6">
        <w:rPr>
          <w:b/>
        </w:rPr>
        <w:t>: November 12, 2018</w:t>
      </w:r>
      <w:r w:rsidR="00E60E2B">
        <w:rPr>
          <w:b/>
        </w:rPr>
        <w:t xml:space="preserve"> </w:t>
      </w:r>
    </w:p>
    <w:p w:rsidR="006A7AC6" w:rsidRDefault="006A7AC6" w:rsidP="005A47E5">
      <w:pPr>
        <w:rPr>
          <w:b/>
        </w:rPr>
      </w:pPr>
    </w:p>
    <w:p w:rsidR="000E31F8" w:rsidRDefault="005A47E5" w:rsidP="005A47E5">
      <w:pPr>
        <w:rPr>
          <w:b/>
        </w:rPr>
      </w:pPr>
      <w:r>
        <w:rPr>
          <w:b/>
        </w:rPr>
        <w:t>Grade</w:t>
      </w:r>
      <w:r w:rsidR="006A7AC6">
        <w:rPr>
          <w:b/>
        </w:rPr>
        <w:t>: 1</w:t>
      </w:r>
      <w:r w:rsidR="006A7AC6" w:rsidRPr="006A7AC6">
        <w:rPr>
          <w:b/>
          <w:vertAlign w:val="superscript"/>
        </w:rPr>
        <w:t>st</w:t>
      </w:r>
    </w:p>
    <w:p w:rsidR="00C97CB7" w:rsidRDefault="005A47E5" w:rsidP="005A47E5">
      <w:pPr>
        <w:rPr>
          <w:b/>
        </w:rPr>
      </w:pPr>
      <w:r>
        <w:rPr>
          <w:b/>
        </w:rPr>
        <w:tab/>
      </w:r>
    </w:p>
    <w:p w:rsidR="005A47E5" w:rsidRPr="00DC360B" w:rsidRDefault="004B01A4" w:rsidP="002E7370">
      <w:pPr>
        <w:rPr>
          <w:b/>
        </w:rPr>
      </w:pPr>
      <w:r>
        <w:rPr>
          <w:b/>
        </w:rPr>
        <w:t>Student Outcomes</w:t>
      </w:r>
    </w:p>
    <w:p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rsidTr="004B01A4">
        <w:trPr>
          <w:jc w:val="center"/>
        </w:trPr>
        <w:tc>
          <w:tcPr>
            <w:tcW w:w="3003" w:type="dxa"/>
            <w:shd w:val="clear" w:color="auto" w:fill="auto"/>
          </w:tcPr>
          <w:p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rsidR="002E7370" w:rsidRDefault="006A7AC6" w:rsidP="002E7370">
            <w:r>
              <w:t>Students will identify mistakes in written sentences</w:t>
            </w:r>
            <w:r w:rsidR="00915FEE">
              <w:t>.</w:t>
            </w:r>
          </w:p>
        </w:tc>
      </w:tr>
      <w:tr w:rsidR="00E11734" w:rsidTr="004B01A4">
        <w:trPr>
          <w:jc w:val="center"/>
        </w:trPr>
        <w:tc>
          <w:tcPr>
            <w:tcW w:w="3003" w:type="dxa"/>
            <w:shd w:val="clear" w:color="auto" w:fill="auto"/>
          </w:tcPr>
          <w:p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rsidR="00E11734" w:rsidRDefault="00F3528A" w:rsidP="002E7370">
            <w:r>
              <w:t xml:space="preserve">Students must know the correct parts of a sentence, such as capitalization and ending punctuation. </w:t>
            </w:r>
          </w:p>
        </w:tc>
      </w:tr>
      <w:tr w:rsidR="00106484" w:rsidTr="004B01A4">
        <w:trPr>
          <w:jc w:val="center"/>
        </w:trPr>
        <w:tc>
          <w:tcPr>
            <w:tcW w:w="3003" w:type="dxa"/>
            <w:shd w:val="clear" w:color="auto" w:fill="auto"/>
          </w:tcPr>
          <w:p w:rsidR="00106484" w:rsidRPr="00514C05" w:rsidRDefault="00106484" w:rsidP="00106484">
            <w:pPr>
              <w:rPr>
                <w:rFonts w:cs="Cambria"/>
                <w:sz w:val="20"/>
                <w:szCs w:val="20"/>
                <w:lang w:eastAsia="ar-SA"/>
              </w:rPr>
            </w:pPr>
            <w:r>
              <w:rPr>
                <w:rFonts w:cs="Cambria"/>
                <w:sz w:val="20"/>
                <w:szCs w:val="20"/>
                <w:lang w:eastAsia="ar-SA"/>
              </w:rPr>
              <w:t>Knowledge of students background (personal, cultural, or community assets)</w:t>
            </w:r>
          </w:p>
        </w:tc>
        <w:tc>
          <w:tcPr>
            <w:tcW w:w="10121" w:type="dxa"/>
            <w:shd w:val="clear" w:color="auto" w:fill="auto"/>
          </w:tcPr>
          <w:p w:rsidR="00106484" w:rsidRDefault="00B95E89" w:rsidP="00106484">
            <w:r>
              <w:t>Teacher should keep in mind students who</w:t>
            </w:r>
            <w:r w:rsidR="00345796">
              <w:t>’s first language is not English, as their language may have different rules than English does (Spanish question sentences ind</w:t>
            </w:r>
            <w:r w:rsidR="00ED3393">
              <w:t>icate at the first of the sentence as well as the end).</w:t>
            </w:r>
          </w:p>
        </w:tc>
      </w:tr>
    </w:tbl>
    <w:p w:rsidR="002E7370" w:rsidRDefault="002E7370" w:rsidP="002E7370"/>
    <w:p w:rsidR="005A47E5" w:rsidRPr="00DC360B" w:rsidRDefault="004B01A4" w:rsidP="005A47E5">
      <w:pPr>
        <w:rPr>
          <w:b/>
        </w:rPr>
      </w:pPr>
      <w:r>
        <w:rPr>
          <w:b/>
        </w:rPr>
        <w:t>State</w:t>
      </w:r>
      <w:r w:rsidR="005A47E5" w:rsidRPr="00DC360B">
        <w:rPr>
          <w:b/>
        </w:rPr>
        <w:t xml:space="preserve"> Academic Content</w:t>
      </w:r>
      <w:r>
        <w:rPr>
          <w:b/>
        </w:rPr>
        <w:t xml:space="preserve"> Standards</w:t>
      </w:r>
    </w:p>
    <w:p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9474"/>
      </w:tblGrid>
      <w:tr w:rsidR="005A47E5" w:rsidTr="000E31F8">
        <w:tc>
          <w:tcPr>
            <w:tcW w:w="3528" w:type="dxa"/>
            <w:shd w:val="clear" w:color="auto" w:fill="auto"/>
          </w:tcPr>
          <w:p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rsidR="005A47E5" w:rsidRDefault="00F00463" w:rsidP="00D14CEF">
            <w:pPr>
              <w:rPr>
                <w:b/>
                <w:sz w:val="28"/>
              </w:rPr>
            </w:pPr>
            <w:r>
              <w:rPr>
                <w:b/>
                <w:sz w:val="28"/>
              </w:rPr>
              <w:t>RF.1.1 Demonstrate understanding of the organization and basic features of print.</w:t>
            </w:r>
          </w:p>
          <w:p w:rsidR="00F00463" w:rsidRPr="000F4F79" w:rsidRDefault="00F00463" w:rsidP="00D14CEF">
            <w:pPr>
              <w:rPr>
                <w:b/>
                <w:sz w:val="28"/>
              </w:rPr>
            </w:pPr>
            <w:r>
              <w:rPr>
                <w:b/>
                <w:sz w:val="28"/>
              </w:rPr>
              <w:t>RF.1.1.A Recognize the distinguishing features of a sentence (e.g., first word, Capitalization, ending punctuation).</w:t>
            </w:r>
          </w:p>
        </w:tc>
      </w:tr>
    </w:tbl>
    <w:p w:rsidR="005A47E5" w:rsidRDefault="005A47E5" w:rsidP="002E7370"/>
    <w:p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rsidTr="004B01A4">
        <w:trPr>
          <w:jc w:val="center"/>
        </w:trPr>
        <w:tc>
          <w:tcPr>
            <w:tcW w:w="5292" w:type="dxa"/>
            <w:shd w:val="clear" w:color="auto" w:fill="auto"/>
          </w:tcPr>
          <w:p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rsidR="00984CCE" w:rsidRDefault="00ED3393" w:rsidP="00D14CEF">
            <w:r>
              <w:t xml:space="preserve">Teacher should provide an example for the students to refer to that outlines the correct format of a sentence, with correct capitalization (first word and proper nouns), and correct ending punctuation. </w:t>
            </w:r>
          </w:p>
          <w:p w:rsidR="00984CCE" w:rsidRDefault="00984CCE" w:rsidP="00D14CEF"/>
          <w:p w:rsidR="00984CCE" w:rsidRDefault="00984CCE" w:rsidP="00D14CEF"/>
          <w:p w:rsidR="00984CCE" w:rsidRDefault="00984CCE" w:rsidP="00D14CEF"/>
        </w:tc>
      </w:tr>
    </w:tbl>
    <w:p w:rsidR="00984CCE" w:rsidRPr="00720A49" w:rsidRDefault="00984CCE" w:rsidP="002E7370"/>
    <w:p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9472"/>
      </w:tblGrid>
      <w:tr w:rsidR="00E60E2B" w:rsidTr="00174353">
        <w:tc>
          <w:tcPr>
            <w:tcW w:w="3528" w:type="dxa"/>
            <w:shd w:val="clear" w:color="auto" w:fill="auto"/>
          </w:tcPr>
          <w:p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lastRenderedPageBreak/>
              <w:t>What vocabulary terms/content specific terminology must be addressed for students to master the lesson?</w:t>
            </w:r>
          </w:p>
        </w:tc>
        <w:tc>
          <w:tcPr>
            <w:tcW w:w="9648" w:type="dxa"/>
            <w:shd w:val="clear" w:color="auto" w:fill="auto"/>
          </w:tcPr>
          <w:p w:rsidR="00E60E2B" w:rsidRPr="00174353" w:rsidRDefault="00ED3393" w:rsidP="00174353">
            <w:pPr>
              <w:pStyle w:val="LessonStructure"/>
              <w:spacing w:before="0"/>
              <w:rPr>
                <w:rFonts w:ascii="Times New Roman" w:hAnsi="Times New Roman"/>
                <w:szCs w:val="24"/>
              </w:rPr>
            </w:pPr>
            <w:r>
              <w:rPr>
                <w:rFonts w:ascii="Times New Roman" w:hAnsi="Times New Roman"/>
                <w:szCs w:val="24"/>
              </w:rPr>
              <w:t xml:space="preserve">Capitalization, punctuation. </w:t>
            </w:r>
          </w:p>
        </w:tc>
      </w:tr>
    </w:tbl>
    <w:p w:rsidR="00E60E2B" w:rsidRDefault="00E60E2B" w:rsidP="005A47E5">
      <w:pPr>
        <w:pStyle w:val="LessonStructure"/>
        <w:spacing w:before="0"/>
        <w:rPr>
          <w:rFonts w:ascii="Times New Roman" w:hAnsi="Times New Roman"/>
          <w:szCs w:val="24"/>
        </w:rPr>
      </w:pPr>
    </w:p>
    <w:p w:rsidR="00E60E2B" w:rsidRDefault="00E60E2B"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rsidR="005A47E5" w:rsidRDefault="00ED3393" w:rsidP="00D14CEF">
            <w:r>
              <w:t>Teacher will need to create QR codes that correspond to incorrectly written sentences.</w:t>
            </w:r>
          </w:p>
          <w:p w:rsidR="005A47E5" w:rsidRDefault="005A47E5" w:rsidP="00D14CEF"/>
        </w:tc>
      </w:tr>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rsidR="005A47E5" w:rsidRDefault="00760B5F" w:rsidP="00D14CEF">
            <w:r>
              <w:t>Students will need an iPad to scan QR codes, and each group will need a worksheet to write the sentences correctly</w:t>
            </w:r>
            <w:r w:rsidR="002A5BB5">
              <w:t>. Each group will also need a clipboard</w:t>
            </w:r>
            <w:r w:rsidR="00A27243">
              <w:t xml:space="preserve"> to make writing easier.</w:t>
            </w:r>
            <w:r w:rsidR="00770877">
              <w:t xml:space="preserve"> Timer.</w:t>
            </w:r>
          </w:p>
          <w:p w:rsidR="005A47E5" w:rsidRDefault="005A47E5" w:rsidP="00D14CEF"/>
        </w:tc>
      </w:tr>
    </w:tbl>
    <w:p w:rsidR="00302A9B" w:rsidRDefault="00302A9B" w:rsidP="00892302">
      <w:pPr>
        <w:ind w:right="-540"/>
        <w:rPr>
          <w:b/>
        </w:rPr>
      </w:pPr>
    </w:p>
    <w:p w:rsidR="00821B03" w:rsidRDefault="00821B03" w:rsidP="00892302">
      <w:pPr>
        <w:ind w:right="-540"/>
        <w:rPr>
          <w:b/>
        </w:rPr>
      </w:pPr>
    </w:p>
    <w:p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3381"/>
        <w:gridCol w:w="8410"/>
      </w:tblGrid>
      <w:tr w:rsidR="00C345E4" w:rsidRPr="00861A0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6B3381" w:rsidP="002D3017">
            <w:pPr>
              <w:pStyle w:val="MainQuestion"/>
              <w:spacing w:before="0"/>
              <w:ind w:left="0"/>
              <w:rPr>
                <w:rFonts w:ascii="Times New Roman" w:hAnsi="Times New Roman"/>
                <w:sz w:val="20"/>
              </w:rPr>
            </w:pPr>
            <w:r>
              <w:rPr>
                <w:rFonts w:ascii="Times New Roman" w:hAnsi="Times New Roman"/>
                <w:sz w:val="20"/>
              </w:rPr>
              <w:t>5-10 minutes</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6B3381" w:rsidP="00D3137B">
            <w:pPr>
              <w:pStyle w:val="MainQuestion"/>
              <w:spacing w:before="0"/>
              <w:ind w:left="0"/>
              <w:rPr>
                <w:rFonts w:ascii="Times New Roman" w:hAnsi="Times New Roman"/>
                <w:sz w:val="20"/>
              </w:rPr>
            </w:pPr>
            <w:r>
              <w:rPr>
                <w:rFonts w:ascii="Times New Roman" w:hAnsi="Times New Roman"/>
                <w:sz w:val="20"/>
              </w:rPr>
              <w:t xml:space="preserve">Teacher will quickly go over the correct format of a sentence, then explain </w:t>
            </w:r>
            <w:r w:rsidR="002621D8">
              <w:rPr>
                <w:rFonts w:ascii="Times New Roman" w:hAnsi="Times New Roman"/>
                <w:sz w:val="20"/>
              </w:rPr>
              <w:t>what the activity is that they will be doing. Teacher should choose groups for the students, pass out iPads, and worksheets.</w:t>
            </w:r>
          </w:p>
          <w:p w:rsidR="00C345E4" w:rsidRPr="004B01A4" w:rsidRDefault="00C345E4"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2621D8" w:rsidP="002D3017">
            <w:pPr>
              <w:pStyle w:val="MainQuestion"/>
              <w:spacing w:before="0"/>
              <w:ind w:left="0"/>
              <w:rPr>
                <w:rFonts w:ascii="Times New Roman" w:hAnsi="Times New Roman"/>
                <w:sz w:val="20"/>
              </w:rPr>
            </w:pPr>
            <w:r>
              <w:rPr>
                <w:rFonts w:ascii="Times New Roman" w:hAnsi="Times New Roman"/>
                <w:sz w:val="20"/>
              </w:rPr>
              <w:t>10 minutes</w:t>
            </w:r>
          </w:p>
        </w:tc>
        <w:tc>
          <w:tcPr>
            <w:tcW w:w="3420" w:type="dxa"/>
            <w:tcBorders>
              <w:top w:val="single" w:sz="2" w:space="0" w:color="auto"/>
              <w:left w:val="single" w:sz="2" w:space="0" w:color="auto"/>
              <w:bottom w:val="single" w:sz="2" w:space="0" w:color="auto"/>
              <w:right w:val="single" w:sz="2" w:space="0" w:color="auto"/>
            </w:tcBorders>
          </w:tcPr>
          <w:p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rsidR="00C345E4" w:rsidRDefault="00C345E4"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rsidR="00C345E4" w:rsidRDefault="005F70DD" w:rsidP="00D3137B">
            <w:pPr>
              <w:pStyle w:val="MainQuestion"/>
              <w:spacing w:before="0"/>
              <w:ind w:left="0"/>
              <w:rPr>
                <w:rFonts w:ascii="Times New Roman" w:hAnsi="Times New Roman"/>
                <w:sz w:val="20"/>
              </w:rPr>
            </w:pPr>
            <w:r>
              <w:rPr>
                <w:rFonts w:ascii="Times New Roman" w:hAnsi="Times New Roman"/>
                <w:sz w:val="20"/>
              </w:rPr>
              <w:lastRenderedPageBreak/>
              <w:t xml:space="preserve">Students, in their groups, will have 10 minutes to go find up to fifteen QR codes scattered in the hallways around the school. </w:t>
            </w:r>
            <w:r w:rsidR="002A5BB5">
              <w:rPr>
                <w:rFonts w:ascii="Times New Roman" w:hAnsi="Times New Roman"/>
                <w:sz w:val="20"/>
              </w:rPr>
              <w:t xml:space="preserve">Students </w:t>
            </w:r>
            <w:r w:rsidR="00A27243">
              <w:rPr>
                <w:rFonts w:ascii="Times New Roman" w:hAnsi="Times New Roman"/>
                <w:sz w:val="20"/>
              </w:rPr>
              <w:t>will leave the classroom</w:t>
            </w:r>
            <w:r w:rsidR="00770877">
              <w:rPr>
                <w:rFonts w:ascii="Times New Roman" w:hAnsi="Times New Roman"/>
                <w:sz w:val="20"/>
              </w:rPr>
              <w:t xml:space="preserve"> in search for QR codes that once scanned will display a sentence written incorrectly. </w:t>
            </w:r>
            <w:r w:rsidR="00D23459">
              <w:rPr>
                <w:rFonts w:ascii="Times New Roman" w:hAnsi="Times New Roman"/>
                <w:sz w:val="20"/>
              </w:rPr>
              <w:t xml:space="preserve">Students must work together to correctly write the sentence on their paper, correcting any errors that they find in capitalization and punctuation. </w:t>
            </w:r>
          </w:p>
          <w:p w:rsidR="0011772B" w:rsidRDefault="0011772B" w:rsidP="00D3137B">
            <w:pPr>
              <w:pStyle w:val="MainQuestion"/>
              <w:spacing w:before="0"/>
              <w:ind w:left="0"/>
              <w:rPr>
                <w:rFonts w:ascii="Times New Roman" w:hAnsi="Times New Roman"/>
                <w:sz w:val="20"/>
              </w:rPr>
            </w:pPr>
          </w:p>
          <w:p w:rsidR="0011772B" w:rsidRPr="004B01A4" w:rsidRDefault="0011772B" w:rsidP="00D3137B">
            <w:pPr>
              <w:pStyle w:val="MainQuestion"/>
              <w:spacing w:before="0"/>
              <w:ind w:left="0"/>
              <w:rPr>
                <w:rFonts w:ascii="Times New Roman" w:hAnsi="Times New Roman"/>
                <w:sz w:val="20"/>
              </w:rPr>
            </w:pPr>
            <w:r>
              <w:rPr>
                <w:rFonts w:ascii="Times New Roman" w:hAnsi="Times New Roman"/>
                <w:sz w:val="20"/>
              </w:rPr>
              <w:t xml:space="preserve">Teacher will alert extra staff that students will be searching for codes, and teacher will circulate the </w:t>
            </w:r>
            <w:r w:rsidR="00CC25DF">
              <w:rPr>
                <w:rFonts w:ascii="Times New Roman" w:hAnsi="Times New Roman"/>
                <w:sz w:val="20"/>
              </w:rPr>
              <w:t xml:space="preserve">hallway to ensure all students are on task. </w:t>
            </w:r>
          </w:p>
          <w:p w:rsidR="00C345E4" w:rsidRPr="004B01A4" w:rsidRDefault="00C345E4"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75030C" w:rsidP="002D3017">
            <w:pPr>
              <w:pStyle w:val="MainQuestion"/>
              <w:spacing w:before="0"/>
              <w:ind w:left="0"/>
              <w:rPr>
                <w:rFonts w:ascii="Times New Roman" w:hAnsi="Times New Roman"/>
                <w:sz w:val="20"/>
              </w:rPr>
            </w:pPr>
            <w:r>
              <w:rPr>
                <w:rFonts w:ascii="Times New Roman" w:hAnsi="Times New Roman"/>
                <w:sz w:val="20"/>
              </w:rPr>
              <w:t>10 minutes</w:t>
            </w:r>
          </w:p>
          <w:p w:rsidR="00C345E4" w:rsidRPr="004B01A4" w:rsidRDefault="00C345E4" w:rsidP="002D3017">
            <w:pPr>
              <w:pStyle w:val="MainQuestion"/>
              <w:spacing w:before="0"/>
              <w:ind w:left="0"/>
              <w:rPr>
                <w:rFonts w:ascii="Times New Roman" w:hAnsi="Times New Roman"/>
                <w:sz w:val="20"/>
              </w:rPr>
            </w:pP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rPr>
                <w:b/>
                <w:sz w:val="20"/>
                <w:szCs w:val="20"/>
                <w:u w:val="single"/>
              </w:rPr>
            </w:pPr>
            <w:r w:rsidRPr="004B01A4">
              <w:rPr>
                <w:b/>
                <w:sz w:val="20"/>
                <w:szCs w:val="20"/>
                <w:u w:val="single"/>
              </w:rPr>
              <w:t>Closure:</w:t>
            </w:r>
          </w:p>
          <w:p w:rsidR="00C345E4" w:rsidRPr="004B01A4" w:rsidRDefault="00DD5017" w:rsidP="00E11734">
            <w:pPr>
              <w:rPr>
                <w:sz w:val="20"/>
                <w:szCs w:val="20"/>
              </w:rPr>
            </w:pPr>
            <w:r w:rsidRPr="004B01A4">
              <w:rPr>
                <w:sz w:val="20"/>
                <w:szCs w:val="20"/>
              </w:rPr>
              <w:t xml:space="preserve"> </w:t>
            </w: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75030C" w:rsidP="00D3137B">
            <w:pPr>
              <w:pStyle w:val="MainQuestion"/>
              <w:spacing w:before="0"/>
              <w:ind w:left="0"/>
              <w:rPr>
                <w:rFonts w:ascii="Times New Roman" w:hAnsi="Times New Roman"/>
                <w:sz w:val="20"/>
              </w:rPr>
            </w:pPr>
            <w:r>
              <w:rPr>
                <w:rFonts w:ascii="Times New Roman" w:hAnsi="Times New Roman"/>
                <w:sz w:val="20"/>
              </w:rPr>
              <w:t>After time is up, all students will return to their classroom and place their iPads back in the charging station. Teacher will then go over the correct format to all fifteen sentences. The group who was able to correct fix the most sentences will receive a pass from the classroom store.</w:t>
            </w:r>
          </w:p>
          <w:p w:rsidR="00C345E4" w:rsidRPr="004B01A4" w:rsidRDefault="00C345E4"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tc>
      </w:tr>
    </w:tbl>
    <w:p w:rsidR="00DD5017" w:rsidRDefault="00DD5017" w:rsidP="000E31F8">
      <w:pPr>
        <w:rPr>
          <w:b/>
        </w:rPr>
      </w:pPr>
    </w:p>
    <w:p w:rsidR="007161C8" w:rsidRDefault="007161C8"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rsidTr="004B01A4">
        <w:tc>
          <w:tcPr>
            <w:tcW w:w="3780" w:type="dxa"/>
            <w:tcBorders>
              <w:top w:val="single" w:sz="4" w:space="0" w:color="000000"/>
              <w:left w:val="single" w:sz="4" w:space="0" w:color="000000"/>
              <w:bottom w:val="single" w:sz="4" w:space="0" w:color="000000"/>
            </w:tcBorders>
          </w:tcPr>
          <w:p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rsidR="00417E43" w:rsidRDefault="00417E43" w:rsidP="00E11734">
            <w:pPr>
              <w:widowControl w:val="0"/>
              <w:suppressAutoHyphens/>
              <w:snapToGrid w:val="0"/>
              <w:rPr>
                <w:sz w:val="22"/>
                <w:szCs w:val="22"/>
              </w:rPr>
            </w:pPr>
          </w:p>
          <w:p w:rsidR="004B01A4" w:rsidRDefault="004B01A4" w:rsidP="00E11734">
            <w:pPr>
              <w:widowControl w:val="0"/>
              <w:suppressAutoHyphens/>
              <w:snapToGrid w:val="0"/>
              <w:rPr>
                <w:sz w:val="22"/>
                <w:szCs w:val="22"/>
              </w:rPr>
            </w:pPr>
            <w:r>
              <w:rPr>
                <w:sz w:val="22"/>
                <w:szCs w:val="22"/>
              </w:rPr>
              <w:t>Remediation?</w:t>
            </w:r>
          </w:p>
          <w:p w:rsidR="004B01A4" w:rsidRDefault="004B01A4" w:rsidP="00E11734">
            <w:pPr>
              <w:widowControl w:val="0"/>
              <w:suppressAutoHyphens/>
              <w:snapToGrid w:val="0"/>
              <w:rPr>
                <w:sz w:val="22"/>
                <w:szCs w:val="22"/>
              </w:rPr>
            </w:pPr>
            <w:r>
              <w:rPr>
                <w:sz w:val="22"/>
                <w:szCs w:val="22"/>
              </w:rPr>
              <w:t>Intervention?</w:t>
            </w:r>
          </w:p>
          <w:p w:rsidR="004B01A4" w:rsidRDefault="004B01A4" w:rsidP="00E11734">
            <w:pPr>
              <w:widowControl w:val="0"/>
              <w:suppressAutoHyphens/>
              <w:snapToGrid w:val="0"/>
              <w:rPr>
                <w:sz w:val="22"/>
                <w:szCs w:val="22"/>
              </w:rPr>
            </w:pPr>
            <w:r>
              <w:rPr>
                <w:sz w:val="22"/>
                <w:szCs w:val="22"/>
              </w:rPr>
              <w:t>IEP/504?</w:t>
            </w:r>
          </w:p>
          <w:p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rsidR="00417E43" w:rsidRDefault="0075030C" w:rsidP="00D14CEF">
            <w:pPr>
              <w:widowControl w:val="0"/>
              <w:suppressAutoHyphens/>
              <w:rPr>
                <w:rFonts w:cs="Cambria"/>
                <w:sz w:val="20"/>
                <w:szCs w:val="20"/>
                <w:lang w:eastAsia="ar-SA"/>
              </w:rPr>
            </w:pPr>
            <w:r>
              <w:rPr>
                <w:rFonts w:cs="Cambria"/>
                <w:sz w:val="20"/>
                <w:szCs w:val="20"/>
                <w:lang w:eastAsia="ar-SA"/>
              </w:rPr>
              <w:t xml:space="preserve">Teacher should make sure groups are fair, so students who are struggling are not all in a group together, and students with attention deficiencies are paired with students who will keep them on task. </w:t>
            </w:r>
          </w:p>
          <w:p w:rsidR="0075030C" w:rsidRDefault="0075030C" w:rsidP="00D14CEF">
            <w:pPr>
              <w:widowControl w:val="0"/>
              <w:suppressAutoHyphens/>
              <w:rPr>
                <w:rFonts w:cs="Cambria"/>
                <w:sz w:val="20"/>
                <w:szCs w:val="20"/>
                <w:lang w:eastAsia="ar-SA"/>
              </w:rPr>
            </w:pPr>
          </w:p>
          <w:p w:rsidR="0075030C" w:rsidRDefault="0075030C" w:rsidP="00D14CEF">
            <w:pPr>
              <w:widowControl w:val="0"/>
              <w:suppressAutoHyphens/>
              <w:rPr>
                <w:rFonts w:cs="Cambria"/>
                <w:sz w:val="20"/>
                <w:szCs w:val="20"/>
                <w:lang w:eastAsia="ar-SA"/>
              </w:rPr>
            </w:pPr>
            <w:r>
              <w:rPr>
                <w:rFonts w:cs="Cambria"/>
                <w:sz w:val="20"/>
                <w:szCs w:val="20"/>
                <w:lang w:eastAsia="ar-SA"/>
              </w:rPr>
              <w:t>Teacher will circulate the hallway to make sure all students are on task.</w:t>
            </w:r>
          </w:p>
          <w:p w:rsidR="0075030C" w:rsidRDefault="0075030C" w:rsidP="00D14CEF">
            <w:pPr>
              <w:widowControl w:val="0"/>
              <w:suppressAutoHyphens/>
              <w:rPr>
                <w:rFonts w:cs="Cambria"/>
                <w:sz w:val="20"/>
                <w:szCs w:val="20"/>
                <w:lang w:eastAsia="ar-SA"/>
              </w:rPr>
            </w:pPr>
          </w:p>
          <w:p w:rsidR="0075030C" w:rsidRPr="00514C05" w:rsidRDefault="0075030C" w:rsidP="00D14CEF">
            <w:pPr>
              <w:widowControl w:val="0"/>
              <w:suppressAutoHyphens/>
              <w:rPr>
                <w:rFonts w:cs="Cambria"/>
                <w:sz w:val="20"/>
                <w:szCs w:val="20"/>
                <w:lang w:eastAsia="ar-SA"/>
              </w:rPr>
            </w:pPr>
            <w:r>
              <w:rPr>
                <w:rFonts w:cs="Cambria"/>
                <w:sz w:val="20"/>
                <w:szCs w:val="20"/>
                <w:lang w:eastAsia="ar-SA"/>
              </w:rPr>
              <w:t xml:space="preserve">If any extra staff is available and willing, </w:t>
            </w:r>
            <w:r w:rsidR="005C0FC2">
              <w:rPr>
                <w:rFonts w:cs="Cambria"/>
                <w:sz w:val="20"/>
                <w:szCs w:val="20"/>
                <w:lang w:eastAsia="ar-SA"/>
              </w:rPr>
              <w:t xml:space="preserve">more adults may circulate around the school. </w:t>
            </w:r>
          </w:p>
        </w:tc>
      </w:tr>
    </w:tbl>
    <w:p w:rsidR="003976BE" w:rsidRDefault="003976BE" w:rsidP="00E11734">
      <w:pPr>
        <w:rPr>
          <w:b/>
          <w:sz w:val="20"/>
          <w:szCs w:val="20"/>
        </w:rPr>
      </w:pPr>
    </w:p>
    <w:p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9184"/>
      </w:tblGrid>
      <w:tr w:rsidR="00AD71B7" w:rsidRPr="00CB11F6" w:rsidTr="00CB11F6">
        <w:tc>
          <w:tcPr>
            <w:tcW w:w="3798" w:type="dxa"/>
            <w:shd w:val="clear" w:color="auto" w:fill="auto"/>
          </w:tcPr>
          <w:p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rsidR="00AD71B7" w:rsidRPr="00CB11F6" w:rsidRDefault="005C0FC2" w:rsidP="00E11734">
            <w:pPr>
              <w:rPr>
                <w:b/>
                <w:sz w:val="20"/>
                <w:szCs w:val="20"/>
              </w:rPr>
            </w:pPr>
            <w:r>
              <w:rPr>
                <w:b/>
                <w:sz w:val="20"/>
                <w:szCs w:val="20"/>
              </w:rPr>
              <w:t>You could assign roles in the group, to ensure everyone has a role that will keep them on task. One person scan, one person time-keeper, one person is the recorder, so everyone is on task and able to work.</w:t>
            </w:r>
            <w:bookmarkStart w:id="0" w:name="_GoBack"/>
            <w:bookmarkEnd w:id="0"/>
          </w:p>
        </w:tc>
      </w:tr>
    </w:tbl>
    <w:p w:rsidR="00AD71B7" w:rsidRDefault="00AD71B7" w:rsidP="00E11734">
      <w:pPr>
        <w:rPr>
          <w:b/>
          <w:sz w:val="20"/>
          <w:szCs w:val="20"/>
        </w:rPr>
      </w:pPr>
    </w:p>
    <w:p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rPr>
                <w:rFonts w:cs="Cambria"/>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rsidR="007D29A9" w:rsidRPr="004B01A4" w:rsidRDefault="007D29A9" w:rsidP="007D29A9">
            <w:pPr>
              <w:rPr>
                <w:sz w:val="20"/>
                <w:szCs w:val="20"/>
              </w:rPr>
            </w:pPr>
            <w:r w:rsidRPr="004B01A4">
              <w:rPr>
                <w:sz w:val="20"/>
                <w:szCs w:val="20"/>
              </w:rPr>
              <w:t>What w</w:t>
            </w:r>
            <w:r w:rsidR="004F64CE">
              <w:rPr>
                <w:sz w:val="20"/>
                <w:szCs w:val="20"/>
              </w:rPr>
              <w:t>ent well?</w:t>
            </w:r>
          </w:p>
          <w:p w:rsidR="007D29A9" w:rsidRPr="004B01A4" w:rsidRDefault="004F64CE" w:rsidP="007D29A9">
            <w:pPr>
              <w:widowControl w:val="0"/>
              <w:suppressAutoHyphens/>
              <w:snapToGrid w:val="0"/>
              <w:rPr>
                <w:sz w:val="20"/>
                <w:szCs w:val="20"/>
              </w:rPr>
            </w:pPr>
            <w:r>
              <w:rPr>
                <w:sz w:val="20"/>
                <w:szCs w:val="20"/>
              </w:rPr>
              <w:lastRenderedPageBreak/>
              <w:t>What changes</w:t>
            </w:r>
            <w:r w:rsidR="007D29A9" w:rsidRPr="004B01A4">
              <w:rPr>
                <w:sz w:val="20"/>
                <w:szCs w:val="20"/>
              </w:rPr>
              <w:t xml:space="preserve"> should be made?</w:t>
            </w:r>
          </w:p>
          <w:p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lastRenderedPageBreak/>
              <w:t>TO BE FILLED IN AFTER TEACHING</w:t>
            </w:r>
          </w:p>
          <w:p w:rsidR="004E14A9" w:rsidRPr="004B01A4" w:rsidRDefault="004E14A9" w:rsidP="004E14A9">
            <w:pPr>
              <w:rPr>
                <w:rFonts w:eastAsia="Times" w:cs="Cambria"/>
                <w:sz w:val="20"/>
                <w:szCs w:val="20"/>
                <w:lang w:eastAsia="ar-SA"/>
              </w:rPr>
            </w:pPr>
          </w:p>
          <w:p w:rsidR="004E14A9" w:rsidRPr="004B01A4" w:rsidRDefault="004E14A9" w:rsidP="004E14A9">
            <w:pPr>
              <w:rPr>
                <w:rFonts w:eastAsia="Times" w:cs="Cambria"/>
                <w:sz w:val="20"/>
                <w:szCs w:val="20"/>
                <w:lang w:eastAsia="ar-SA"/>
              </w:rPr>
            </w:pPr>
          </w:p>
          <w:p w:rsidR="004E14A9" w:rsidRPr="004B01A4" w:rsidRDefault="004E14A9" w:rsidP="004E14A9">
            <w:pPr>
              <w:rPr>
                <w:rFonts w:cs="Cambria"/>
                <w:sz w:val="20"/>
                <w:szCs w:val="20"/>
                <w:lang w:eastAsia="ar-SA"/>
              </w:rPr>
            </w:pPr>
          </w:p>
        </w:tc>
      </w:tr>
    </w:tbl>
    <w:p w:rsidR="00984CCE" w:rsidRPr="004B01A4" w:rsidRDefault="00984CCE" w:rsidP="001B55BD">
      <w:pPr>
        <w:rPr>
          <w:sz w:val="20"/>
          <w:szCs w:val="20"/>
        </w:rPr>
      </w:pPr>
    </w:p>
    <w:p w:rsidR="004E14A9" w:rsidRPr="004B01A4" w:rsidRDefault="004E14A9" w:rsidP="001B55BD">
      <w:pPr>
        <w:rPr>
          <w:sz w:val="20"/>
          <w:szCs w:val="20"/>
        </w:rPr>
      </w:pPr>
    </w:p>
    <w:p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rsidR="007161C8" w:rsidRDefault="007161C8" w:rsidP="001B55BD">
      <w:pPr>
        <w:rPr>
          <w:sz w:val="20"/>
          <w:szCs w:val="20"/>
        </w:rPr>
      </w:pPr>
    </w:p>
    <w:p w:rsidR="003976BE" w:rsidRDefault="003976BE" w:rsidP="001B55BD">
      <w:pPr>
        <w:rPr>
          <w:sz w:val="20"/>
          <w:szCs w:val="20"/>
        </w:rPr>
      </w:pPr>
    </w:p>
    <w:p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E55" w:rsidRDefault="00317E55" w:rsidP="007161C8">
      <w:r>
        <w:separator/>
      </w:r>
    </w:p>
  </w:endnote>
  <w:endnote w:type="continuationSeparator" w:id="0">
    <w:p w:rsidR="00317E55" w:rsidRDefault="00317E55"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1Stone Serif">
    <w:altName w:val="Times New Roman"/>
    <w:panose1 w:val="020B0604020202020204"/>
    <w:charset w:val="00"/>
    <w:family w:val="auto"/>
    <w:pitch w:val="variable"/>
    <w:sig w:usb0="03000000" w:usb1="00000000" w:usb2="00000000" w:usb3="00000000" w:csb0="00000001" w:csb1="00000000"/>
  </w:font>
  <w:font w:name="Times">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E55" w:rsidRDefault="00317E55" w:rsidP="007161C8">
      <w:r>
        <w:separator/>
      </w:r>
    </w:p>
  </w:footnote>
  <w:footnote w:type="continuationSeparator" w:id="0">
    <w:p w:rsidR="00317E55" w:rsidRDefault="00317E55" w:rsidP="0071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BC"/>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1772B"/>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621D8"/>
    <w:rsid w:val="0027410E"/>
    <w:rsid w:val="0027603A"/>
    <w:rsid w:val="0028275B"/>
    <w:rsid w:val="002916BC"/>
    <w:rsid w:val="00293502"/>
    <w:rsid w:val="002941D8"/>
    <w:rsid w:val="002972E4"/>
    <w:rsid w:val="002A39E1"/>
    <w:rsid w:val="002A5BB5"/>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5796"/>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07DB7"/>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0FC2"/>
    <w:rsid w:val="005C61B4"/>
    <w:rsid w:val="005D5A91"/>
    <w:rsid w:val="005E095F"/>
    <w:rsid w:val="005E2761"/>
    <w:rsid w:val="005F231B"/>
    <w:rsid w:val="005F70DD"/>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A7AC6"/>
    <w:rsid w:val="006B22B1"/>
    <w:rsid w:val="006B338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030C"/>
    <w:rsid w:val="0075422C"/>
    <w:rsid w:val="00760B5F"/>
    <w:rsid w:val="00763B37"/>
    <w:rsid w:val="00766312"/>
    <w:rsid w:val="00770877"/>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5FEE"/>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D7022"/>
    <w:rsid w:val="009E024A"/>
    <w:rsid w:val="009E12ED"/>
    <w:rsid w:val="009E42C9"/>
    <w:rsid w:val="009E6D44"/>
    <w:rsid w:val="009F290C"/>
    <w:rsid w:val="009F7362"/>
    <w:rsid w:val="00A01F0B"/>
    <w:rsid w:val="00A05038"/>
    <w:rsid w:val="00A16409"/>
    <w:rsid w:val="00A27243"/>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95E8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25DF"/>
    <w:rsid w:val="00CC3D50"/>
    <w:rsid w:val="00CD04C3"/>
    <w:rsid w:val="00CD7C9C"/>
    <w:rsid w:val="00CF2205"/>
    <w:rsid w:val="00D00D95"/>
    <w:rsid w:val="00D024B3"/>
    <w:rsid w:val="00D079EB"/>
    <w:rsid w:val="00D10421"/>
    <w:rsid w:val="00D13931"/>
    <w:rsid w:val="00D14CEF"/>
    <w:rsid w:val="00D23459"/>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3393"/>
    <w:rsid w:val="00ED5BAC"/>
    <w:rsid w:val="00EE1278"/>
    <w:rsid w:val="00EE58D6"/>
    <w:rsid w:val="00EE669E"/>
    <w:rsid w:val="00EE7339"/>
    <w:rsid w:val="00F00463"/>
    <w:rsid w:val="00F0127C"/>
    <w:rsid w:val="00F04510"/>
    <w:rsid w:val="00F117B6"/>
    <w:rsid w:val="00F3528A"/>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BC12A"/>
  <w14:defaultImageDpi w14:val="300"/>
  <w15:chartTrackingRefBased/>
  <w15:docId w15:val="{D2829C09-3FCA-C34F-8C06-CAE280AE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6864</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cp:lastModifiedBy>Kennedy Capps</cp:lastModifiedBy>
  <cp:revision>21</cp:revision>
  <cp:lastPrinted>2018-09-05T22:10:00Z</cp:lastPrinted>
  <dcterms:created xsi:type="dcterms:W3CDTF">2018-11-11T20:12:00Z</dcterms:created>
  <dcterms:modified xsi:type="dcterms:W3CDTF">2018-11-11T20:43:00Z</dcterms:modified>
</cp:coreProperties>
</file>